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72A" w:rsidRDefault="00343438"/>
    <w:p w:rsidR="008A7A37" w:rsidRDefault="008A7A37"/>
    <w:p w:rsidR="008A7A37" w:rsidRPr="00343438" w:rsidRDefault="008A7A37">
      <w:pPr>
        <w:rPr>
          <w:rFonts w:ascii="Times New Roman" w:hAnsi="Times New Roman" w:cs="Times New Roman"/>
        </w:rPr>
      </w:pPr>
      <w:bookmarkStart w:id="0" w:name="_GoBack"/>
      <w:r w:rsidRPr="00343438">
        <w:rPr>
          <w:rFonts w:ascii="Times New Roman" w:hAnsi="Times New Roman" w:cs="Times New Roman"/>
        </w:rPr>
        <w:t>Заказчику: МУП «Экспресс»</w:t>
      </w:r>
    </w:p>
    <w:p w:rsidR="008A7A37" w:rsidRPr="00343438" w:rsidRDefault="008A7A37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  <w:r w:rsidRPr="00343438">
        <w:rPr>
          <w:rFonts w:ascii="Times New Roman" w:hAnsi="Times New Roman" w:cs="Times New Roman"/>
        </w:rPr>
        <w:t>Просим разъяснить положения технического задания документации 32514659876:</w:t>
      </w:r>
    </w:p>
    <w:p w:rsidR="00FD648A" w:rsidRPr="00343438" w:rsidRDefault="00FD648A">
      <w:pPr>
        <w:rPr>
          <w:rFonts w:ascii="Times New Roman" w:hAnsi="Times New Roman" w:cs="Times New Roman"/>
        </w:rPr>
      </w:pPr>
      <w:r w:rsidRPr="00343438">
        <w:rPr>
          <w:rFonts w:ascii="Times New Roman" w:hAnsi="Times New Roman" w:cs="Times New Roman"/>
        </w:rPr>
        <w:t xml:space="preserve">В техническом задании указаны позиции 1,2,3,4 без возможности предложения эквивалента, хотя аналогичных товаров с такими характеристиками, как указано в техническом задании документации на рынке РФ представлено большое </w:t>
      </w:r>
      <w:proofErr w:type="gramStart"/>
      <w:r w:rsidRPr="00343438">
        <w:rPr>
          <w:rFonts w:ascii="Times New Roman" w:hAnsi="Times New Roman" w:cs="Times New Roman"/>
        </w:rPr>
        <w:t>количество,  и</w:t>
      </w:r>
      <w:proofErr w:type="gramEnd"/>
      <w:r w:rsidRPr="00343438">
        <w:rPr>
          <w:rFonts w:ascii="Times New Roman" w:hAnsi="Times New Roman" w:cs="Times New Roman"/>
        </w:rPr>
        <w:t xml:space="preserve"> по более дешевым ценам, чем в НМЦ – расчете данной процедуры.</w:t>
      </w:r>
    </w:p>
    <w:p w:rsidR="008A7A37" w:rsidRPr="00343438" w:rsidRDefault="00FD648A" w:rsidP="008A7A37">
      <w:pPr>
        <w:suppressAutoHyphens/>
        <w:jc w:val="both"/>
        <w:rPr>
          <w:rFonts w:ascii="Times New Roman" w:hAnsi="Times New Roman" w:cs="Times New Roman"/>
        </w:rPr>
      </w:pPr>
      <w:r w:rsidRPr="00343438">
        <w:rPr>
          <w:rFonts w:ascii="Times New Roman" w:hAnsi="Times New Roman" w:cs="Times New Roman"/>
        </w:rPr>
        <w:t xml:space="preserve">Указание поз. 1,2, 3, 4 без возможности предложения аналога нарушает право иных </w:t>
      </w:r>
      <w:proofErr w:type="gramStart"/>
      <w:r w:rsidRPr="00343438">
        <w:rPr>
          <w:rFonts w:ascii="Times New Roman" w:hAnsi="Times New Roman" w:cs="Times New Roman"/>
        </w:rPr>
        <w:t>поставщиков  на</w:t>
      </w:r>
      <w:proofErr w:type="gramEnd"/>
      <w:r w:rsidRPr="00343438">
        <w:rPr>
          <w:rFonts w:ascii="Times New Roman" w:hAnsi="Times New Roman" w:cs="Times New Roman"/>
        </w:rPr>
        <w:t xml:space="preserve"> участие в данной процедуре закупки и нарушает принцип конкуренции при проведении торгов</w:t>
      </w:r>
      <w:r w:rsidR="008A7A37" w:rsidRPr="00343438">
        <w:rPr>
          <w:rFonts w:ascii="Times New Roman" w:hAnsi="Times New Roman" w:cs="Times New Roman"/>
        </w:rPr>
        <w:t xml:space="preserve">. </w:t>
      </w:r>
    </w:p>
    <w:p w:rsidR="008A7A37" w:rsidRPr="00343438" w:rsidRDefault="008A7A37" w:rsidP="008A7A37">
      <w:pPr>
        <w:suppressAutoHyphens/>
        <w:jc w:val="both"/>
        <w:rPr>
          <w:rFonts w:ascii="Times New Roman" w:hAnsi="Times New Roman" w:cs="Times New Roman"/>
        </w:rPr>
      </w:pPr>
      <w:r w:rsidRPr="00343438">
        <w:rPr>
          <w:rFonts w:ascii="Times New Roman" w:hAnsi="Times New Roman" w:cs="Times New Roman"/>
        </w:rPr>
        <w:t xml:space="preserve">Размещая поз. 1,2, 3,4 </w:t>
      </w:r>
      <w:r w:rsidR="00696CDD" w:rsidRPr="00343438">
        <w:rPr>
          <w:rFonts w:ascii="Times New Roman" w:hAnsi="Times New Roman" w:cs="Times New Roman"/>
        </w:rPr>
        <w:t xml:space="preserve">технического задания </w:t>
      </w:r>
      <w:r w:rsidRPr="00343438">
        <w:rPr>
          <w:rFonts w:ascii="Times New Roman" w:hAnsi="Times New Roman" w:cs="Times New Roman"/>
        </w:rPr>
        <w:t>без возможности предложения аналогов, з</w:t>
      </w:r>
      <w:r w:rsidRPr="00343438">
        <w:rPr>
          <w:rFonts w:ascii="Times New Roman" w:hAnsi="Times New Roman" w:cs="Times New Roman"/>
        </w:rPr>
        <w:t>аказчик нарушил требования ст. 17 Закона ФЗ-135</w:t>
      </w:r>
      <w:r w:rsidRPr="00343438">
        <w:rPr>
          <w:rFonts w:ascii="Times New Roman" w:hAnsi="Times New Roman" w:cs="Times New Roman"/>
        </w:rPr>
        <w:t xml:space="preserve"> «О защите конкуренции» </w:t>
      </w:r>
      <w:r w:rsidRPr="00343438">
        <w:rPr>
          <w:rFonts w:ascii="Times New Roman" w:hAnsi="Times New Roman" w:cs="Times New Roman"/>
        </w:rPr>
        <w:t xml:space="preserve"> при проведении запроса котировок, так как </w:t>
      </w:r>
      <w:r w:rsidR="00696CDD" w:rsidRPr="00343438">
        <w:rPr>
          <w:rFonts w:ascii="Times New Roman" w:hAnsi="Times New Roman" w:cs="Times New Roman"/>
        </w:rPr>
        <w:t xml:space="preserve">не дает возможности предложить в рамках процедуры 32514659876 более дешевый товар (34 бочки масла), соответствующий требованиям технического задания, без указания какой либо объективной причины на это.  Отсутствие </w:t>
      </w:r>
      <w:r w:rsidR="00343438" w:rsidRPr="00343438">
        <w:rPr>
          <w:rFonts w:ascii="Times New Roman" w:hAnsi="Times New Roman" w:cs="Times New Roman"/>
        </w:rPr>
        <w:t xml:space="preserve">возможности конкуренции нарушает право на </w:t>
      </w:r>
      <w:proofErr w:type="gramStart"/>
      <w:r w:rsidR="00696CDD" w:rsidRPr="00343438">
        <w:rPr>
          <w:rFonts w:ascii="Times New Roman" w:hAnsi="Times New Roman" w:cs="Times New Roman"/>
        </w:rPr>
        <w:t>участи</w:t>
      </w:r>
      <w:r w:rsidR="00343438" w:rsidRPr="00343438">
        <w:rPr>
          <w:rFonts w:ascii="Times New Roman" w:hAnsi="Times New Roman" w:cs="Times New Roman"/>
        </w:rPr>
        <w:t>е</w:t>
      </w:r>
      <w:r w:rsidR="00696CDD" w:rsidRPr="00343438">
        <w:rPr>
          <w:rFonts w:ascii="Times New Roman" w:hAnsi="Times New Roman" w:cs="Times New Roman"/>
        </w:rPr>
        <w:t xml:space="preserve">  иных</w:t>
      </w:r>
      <w:proofErr w:type="gramEnd"/>
      <w:r w:rsidR="00696CDD" w:rsidRPr="00343438">
        <w:rPr>
          <w:rFonts w:ascii="Times New Roman" w:hAnsi="Times New Roman" w:cs="Times New Roman"/>
        </w:rPr>
        <w:t xml:space="preserve"> поставщиков товара</w:t>
      </w:r>
      <w:r w:rsidR="00343438" w:rsidRPr="00343438">
        <w:rPr>
          <w:rFonts w:ascii="Times New Roman" w:hAnsi="Times New Roman" w:cs="Times New Roman"/>
        </w:rPr>
        <w:t xml:space="preserve"> с такими же техническими характеристиками и  снизит цену предложений товара в данной закупке</w:t>
      </w:r>
      <w:r w:rsidR="00696CDD" w:rsidRPr="00343438">
        <w:rPr>
          <w:rFonts w:ascii="Times New Roman" w:hAnsi="Times New Roman" w:cs="Times New Roman"/>
        </w:rPr>
        <w:t xml:space="preserve">. </w:t>
      </w:r>
      <w:r w:rsidRPr="00343438">
        <w:rPr>
          <w:rFonts w:ascii="Times New Roman" w:hAnsi="Times New Roman" w:cs="Times New Roman"/>
        </w:rPr>
        <w:t xml:space="preserve"> </w:t>
      </w:r>
      <w:r w:rsidR="00343438" w:rsidRPr="00343438">
        <w:rPr>
          <w:rFonts w:ascii="Times New Roman" w:hAnsi="Times New Roman" w:cs="Times New Roman"/>
        </w:rPr>
        <w:t>П</w:t>
      </w:r>
      <w:r w:rsidRPr="00343438">
        <w:rPr>
          <w:rFonts w:ascii="Times New Roman" w:hAnsi="Times New Roman" w:cs="Times New Roman"/>
        </w:rPr>
        <w:t>оставщиком товара определенной марки</w:t>
      </w:r>
      <w:r w:rsidRPr="00343438">
        <w:rPr>
          <w:rFonts w:ascii="Times New Roman" w:hAnsi="Times New Roman" w:cs="Times New Roman"/>
        </w:rPr>
        <w:t xml:space="preserve"> </w:t>
      </w:r>
      <w:r w:rsidRPr="00343438">
        <w:rPr>
          <w:rFonts w:ascii="Times New Roman" w:hAnsi="Times New Roman" w:cs="Times New Roman"/>
          <w:color w:val="000000"/>
          <w:sz w:val="24"/>
          <w:szCs w:val="24"/>
          <w:lang w:val="en-US"/>
        </w:rPr>
        <w:t>Rhin</w:t>
      </w:r>
      <w:r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438">
        <w:rPr>
          <w:rFonts w:ascii="Times New Roman" w:hAnsi="Times New Roman" w:cs="Times New Roman"/>
          <w:color w:val="000000"/>
          <w:sz w:val="24"/>
          <w:szCs w:val="24"/>
          <w:lang w:val="en-US"/>
        </w:rPr>
        <w:t>Oil</w:t>
      </w:r>
      <w:r w:rsidR="00343438"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ограниченный круг лиц и сокращает количество участников данной процедуры.</w:t>
      </w:r>
      <w:r w:rsidR="00696CDD"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Данный товар</w:t>
      </w:r>
      <w:r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="00696CDD" w:rsidRPr="00343438">
        <w:rPr>
          <w:rFonts w:ascii="Times New Roman" w:hAnsi="Times New Roman" w:cs="Times New Roman"/>
          <w:color w:val="000000"/>
          <w:sz w:val="24"/>
          <w:szCs w:val="24"/>
        </w:rPr>
        <w:t>едлагает к продаже</w:t>
      </w:r>
      <w:r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ООО Торговый Дом «ХИМАВТО», адрес местонахождения: Нижегородская область, г. </w:t>
      </w:r>
      <w:proofErr w:type="gramStart"/>
      <w:r w:rsidRPr="00343438">
        <w:rPr>
          <w:rFonts w:ascii="Times New Roman" w:hAnsi="Times New Roman" w:cs="Times New Roman"/>
          <w:color w:val="000000"/>
          <w:sz w:val="24"/>
          <w:szCs w:val="24"/>
        </w:rPr>
        <w:t>Дзержинск ,</w:t>
      </w:r>
      <w:proofErr w:type="gramEnd"/>
      <w:r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шоссе Автозаводское, д. 99А, к. 1</w:t>
      </w:r>
      <w:r w:rsidRPr="00343438">
        <w:rPr>
          <w:rFonts w:ascii="Times New Roman" w:hAnsi="Times New Roman" w:cs="Times New Roman"/>
        </w:rPr>
        <w:t xml:space="preserve"> ( смотреть таблицу ниже)</w:t>
      </w:r>
      <w:r w:rsidR="00696CDD" w:rsidRPr="00343438">
        <w:rPr>
          <w:rFonts w:ascii="Times New Roman" w:hAnsi="Times New Roman" w:cs="Times New Roman"/>
        </w:rPr>
        <w:t>.</w:t>
      </w:r>
    </w:p>
    <w:p w:rsidR="008A7A37" w:rsidRPr="00343438" w:rsidRDefault="008A7A37" w:rsidP="008A7A37">
      <w:pPr>
        <w:suppressAutoHyphens/>
        <w:jc w:val="both"/>
        <w:rPr>
          <w:rFonts w:ascii="Times New Roman" w:hAnsi="Times New Roman" w:cs="Times New Roman"/>
        </w:rPr>
      </w:pPr>
      <w:r w:rsidRPr="00343438">
        <w:rPr>
          <w:rFonts w:ascii="Times New Roman" w:hAnsi="Times New Roman" w:cs="Times New Roman"/>
        </w:rPr>
        <w:t>Д</w:t>
      </w:r>
      <w:r w:rsidRPr="00343438">
        <w:rPr>
          <w:rFonts w:ascii="Times New Roman" w:hAnsi="Times New Roman" w:cs="Times New Roman"/>
        </w:rPr>
        <w:t>ействия заказчика при проведении за</w:t>
      </w:r>
      <w:r w:rsidRPr="00343438">
        <w:rPr>
          <w:rFonts w:ascii="Times New Roman" w:hAnsi="Times New Roman" w:cs="Times New Roman"/>
        </w:rPr>
        <w:t>купки противоречат</w:t>
      </w:r>
      <w:r w:rsidRPr="00343438">
        <w:rPr>
          <w:rFonts w:ascii="Times New Roman" w:hAnsi="Times New Roman" w:cs="Times New Roman"/>
        </w:rPr>
        <w:t xml:space="preserve"> Статье </w:t>
      </w:r>
      <w:proofErr w:type="gramStart"/>
      <w:r w:rsidRPr="00343438">
        <w:rPr>
          <w:rFonts w:ascii="Times New Roman" w:hAnsi="Times New Roman" w:cs="Times New Roman"/>
          <w:b/>
        </w:rPr>
        <w:t>17.ФЗ</w:t>
      </w:r>
      <w:proofErr w:type="gramEnd"/>
      <w:r w:rsidRPr="00343438">
        <w:rPr>
          <w:rFonts w:ascii="Times New Roman" w:hAnsi="Times New Roman" w:cs="Times New Roman"/>
          <w:b/>
        </w:rPr>
        <w:t xml:space="preserve">-135 </w:t>
      </w:r>
      <w:r w:rsidRPr="00343438">
        <w:rPr>
          <w:rFonts w:ascii="Times New Roman" w:hAnsi="Times New Roman" w:cs="Times New Roman"/>
          <w:b/>
        </w:rPr>
        <w:t xml:space="preserve">«О защите конкуренции» </w:t>
      </w:r>
      <w:r w:rsidRPr="00343438">
        <w:rPr>
          <w:rFonts w:ascii="Times New Roman" w:hAnsi="Times New Roman" w:cs="Times New Roman"/>
          <w:b/>
        </w:rPr>
        <w:t xml:space="preserve">Антимонопольные требования к торгам, запросу котировок цен на товары, запросу предложений (в ред. Федерального закона от 28.12.2013 N 396-ФЗ) </w:t>
      </w:r>
      <w:r w:rsidR="00343438" w:rsidRPr="00343438">
        <w:rPr>
          <w:rFonts w:ascii="Times New Roman" w:hAnsi="Times New Roman" w:cs="Times New Roman"/>
        </w:rPr>
        <w:t>, так как имеют целью</w:t>
      </w:r>
      <w:r w:rsidR="00343438" w:rsidRPr="00343438">
        <w:rPr>
          <w:rFonts w:ascii="Times New Roman" w:hAnsi="Times New Roman" w:cs="Times New Roman"/>
        </w:rPr>
        <w:t xml:space="preserve"> недопущени</w:t>
      </w:r>
      <w:r w:rsidR="00343438" w:rsidRPr="00343438">
        <w:rPr>
          <w:rFonts w:ascii="Times New Roman" w:hAnsi="Times New Roman" w:cs="Times New Roman"/>
        </w:rPr>
        <w:t>е</w:t>
      </w:r>
      <w:r w:rsidR="00343438" w:rsidRPr="00343438">
        <w:rPr>
          <w:rFonts w:ascii="Times New Roman" w:hAnsi="Times New Roman" w:cs="Times New Roman"/>
        </w:rPr>
        <w:t xml:space="preserve"> до участия, создания невозможности участия в запросе котировок иным участникам торгов, предлагающим товары – аналоги</w:t>
      </w:r>
      <w:r w:rsidR="00343438" w:rsidRPr="00343438">
        <w:rPr>
          <w:rFonts w:ascii="Times New Roman" w:hAnsi="Times New Roman" w:cs="Times New Roman"/>
        </w:rPr>
        <w:t xml:space="preserve"> товарам, указанным в п. 1,2,3,4.</w:t>
      </w:r>
    </w:p>
    <w:p w:rsidR="00FD648A" w:rsidRPr="00343438" w:rsidRDefault="00FD648A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161"/>
        <w:tblW w:w="13036" w:type="dxa"/>
        <w:tblLayout w:type="fixed"/>
        <w:tblLook w:val="04A0" w:firstRow="1" w:lastRow="0" w:firstColumn="1" w:lastColumn="0" w:noHBand="0" w:noVBand="1"/>
      </w:tblPr>
      <w:tblGrid>
        <w:gridCol w:w="704"/>
        <w:gridCol w:w="2381"/>
        <w:gridCol w:w="7683"/>
        <w:gridCol w:w="851"/>
        <w:gridCol w:w="1417"/>
      </w:tblGrid>
      <w:tr w:rsidR="00FD648A" w:rsidRPr="00FD648A" w:rsidTr="00FD648A">
        <w:trPr>
          <w:trHeight w:val="20"/>
        </w:trPr>
        <w:tc>
          <w:tcPr>
            <w:tcW w:w="704" w:type="dxa"/>
            <w:vAlign w:val="center"/>
          </w:tcPr>
          <w:p w:rsidR="00FD648A" w:rsidRPr="00FD648A" w:rsidRDefault="00FD648A" w:rsidP="00FD648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D648A" w:rsidRPr="00FD648A" w:rsidRDefault="00FD648A" w:rsidP="00FD648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1" w:type="dxa"/>
            <w:vAlign w:val="center"/>
          </w:tcPr>
          <w:p w:rsidR="00FD648A" w:rsidRPr="00FD648A" w:rsidRDefault="00FD648A" w:rsidP="00FD648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83" w:type="dxa"/>
            <w:vAlign w:val="center"/>
          </w:tcPr>
          <w:p w:rsidR="00FD648A" w:rsidRPr="00FD648A" w:rsidRDefault="00FD648A" w:rsidP="00FD648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характеристики</w:t>
            </w:r>
          </w:p>
        </w:tc>
        <w:tc>
          <w:tcPr>
            <w:tcW w:w="851" w:type="dxa"/>
            <w:vAlign w:val="center"/>
          </w:tcPr>
          <w:p w:rsidR="00FD648A" w:rsidRPr="00FD648A" w:rsidRDefault="00FD648A" w:rsidP="00FD648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FD648A" w:rsidRPr="00FD648A" w:rsidRDefault="00FD648A" w:rsidP="00FD648A">
            <w:pPr>
              <w:tabs>
                <w:tab w:val="num" w:pos="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FD648A" w:rsidRPr="00FD648A" w:rsidTr="00FD648A">
        <w:trPr>
          <w:trHeight w:val="3298"/>
        </w:trPr>
        <w:tc>
          <w:tcPr>
            <w:tcW w:w="704" w:type="dxa"/>
            <w:vAlign w:val="center"/>
          </w:tcPr>
          <w:p w:rsidR="00FD648A" w:rsidRPr="00FD648A" w:rsidRDefault="00FD648A" w:rsidP="00FD648A">
            <w:pPr>
              <w:numPr>
                <w:ilvl w:val="0"/>
                <w:numId w:val="1"/>
              </w:numPr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10W40 (бочка 216.5л.) </w:t>
            </w:r>
            <w:r w:rsidR="008A7A37" w:rsidRPr="003434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Rhin Oil</w:t>
            </w:r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683" w:type="dxa"/>
            <w:vAlign w:val="center"/>
          </w:tcPr>
          <w:tbl>
            <w:tblPr>
              <w:tblW w:w="594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1276"/>
            </w:tblGrid>
            <w:tr w:rsidR="00FD648A" w:rsidRPr="00FD648A" w:rsidTr="006E7088">
              <w:tc>
                <w:tcPr>
                  <w:tcW w:w="4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Вязкость кинематическая при 100˚С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en-US"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w:t>14,98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Вязкость кинематическая при 40 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99,13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Вязкостный индекс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158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Порог воспламенения в открытом тигле 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230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Порог кристаллизации 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Соответствие SAE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en-US"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00"/>
                      <w:lang w:eastAsia="ru-RU"/>
                    </w:rPr>
                    <w:t>10</w:t>
                  </w: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00"/>
                      <w:lang w:val="en-US" w:eastAsia="ru-RU"/>
                    </w:rPr>
                    <w:t>W40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Соответствие API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CI-4/SL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Соответствие ACEA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E7</w:t>
                  </w:r>
                </w:p>
              </w:tc>
            </w:tr>
          </w:tbl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648A" w:rsidRPr="00FD648A" w:rsidRDefault="00FD648A" w:rsidP="00FD6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D648A" w:rsidRPr="00FD648A" w:rsidRDefault="00FD648A" w:rsidP="00FD6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648A" w:rsidRPr="00FD648A" w:rsidTr="00FD648A">
        <w:trPr>
          <w:trHeight w:val="2820"/>
        </w:trPr>
        <w:tc>
          <w:tcPr>
            <w:tcW w:w="704" w:type="dxa"/>
            <w:vAlign w:val="center"/>
          </w:tcPr>
          <w:p w:rsidR="00FD648A" w:rsidRPr="00FD648A" w:rsidRDefault="00FD648A" w:rsidP="00FD648A">
            <w:pPr>
              <w:numPr>
                <w:ilvl w:val="0"/>
                <w:numId w:val="1"/>
              </w:numPr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Масло 80W90 (бочка 216.5л.)  </w:t>
            </w:r>
            <w:proofErr w:type="spellStart"/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RhinOil</w:t>
            </w:r>
            <w:proofErr w:type="spellEnd"/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683" w:type="dxa"/>
            <w:vAlign w:val="center"/>
          </w:tcPr>
          <w:tbl>
            <w:tblPr>
              <w:tblW w:w="5944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68"/>
              <w:gridCol w:w="1276"/>
            </w:tblGrid>
            <w:tr w:rsidR="00FD648A" w:rsidRPr="00FD648A" w:rsidTr="006E7088">
              <w:tc>
                <w:tcPr>
                  <w:tcW w:w="46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Вязкость кинематическая при 100˚С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en-US"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w:t>14,1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Вязкость кинематическая при 40 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113,64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Вязкостный индекс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126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Порог воспламенения в открытом тигле 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216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Порог кристаллизации ˚С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Соответствие SAE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en-US"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00"/>
                      <w:lang w:eastAsia="ru-RU"/>
                    </w:rPr>
                    <w:t>80</w:t>
                  </w: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shd w:val="clear" w:color="auto" w:fill="FFFF00"/>
                      <w:lang w:val="en-US" w:eastAsia="ru-RU"/>
                    </w:rPr>
                    <w:t>W90</w:t>
                  </w:r>
                </w:p>
              </w:tc>
            </w:tr>
            <w:tr w:rsidR="00FD648A" w:rsidRPr="00FD648A" w:rsidTr="006E7088">
              <w:tc>
                <w:tcPr>
                  <w:tcW w:w="4668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Соответствие API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GL-5</w:t>
                  </w:r>
                </w:p>
              </w:tc>
            </w:tr>
          </w:tbl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648A" w:rsidRPr="00FD648A" w:rsidRDefault="00FD648A" w:rsidP="00FD6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D648A" w:rsidRPr="00FD648A" w:rsidRDefault="00FD648A" w:rsidP="00FD6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D648A" w:rsidRPr="00FD648A" w:rsidTr="00FD648A">
        <w:trPr>
          <w:trHeight w:val="3106"/>
        </w:trPr>
        <w:tc>
          <w:tcPr>
            <w:tcW w:w="704" w:type="dxa"/>
            <w:vAlign w:val="center"/>
          </w:tcPr>
          <w:p w:rsidR="00FD648A" w:rsidRPr="00FD648A" w:rsidRDefault="00FD648A" w:rsidP="00FD648A">
            <w:pPr>
              <w:numPr>
                <w:ilvl w:val="0"/>
                <w:numId w:val="1"/>
              </w:numPr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Антифриз красный G12 (бочка 216.5л.)  </w:t>
            </w:r>
            <w:proofErr w:type="spellStart"/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RhinOil</w:t>
            </w:r>
            <w:proofErr w:type="spellEnd"/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683" w:type="dxa"/>
            <w:vAlign w:val="center"/>
          </w:tcPr>
          <w:tbl>
            <w:tblPr>
              <w:tblW w:w="608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1276"/>
            </w:tblGrid>
            <w:tr w:rsidR="00FD648A" w:rsidRPr="00FD648A" w:rsidTr="006E7088">
              <w:tc>
                <w:tcPr>
                  <w:tcW w:w="4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FD648A" w:rsidRPr="00FD648A" w:rsidTr="006E7088">
              <w:trPr>
                <w:trHeight w:val="227"/>
              </w:trPr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Цвет охлаждающей жидкости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en-US" w:eastAsia="ru-RU"/>
                    </w:rPr>
                  </w:pPr>
                  <w:proofErr w:type="spellStart"/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w:t>красный</w:t>
                  </w:r>
                  <w:proofErr w:type="spellEnd"/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Класс охлаждающей жидкости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en-US"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w:t>G-12+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Вид раствора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готовый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Плотность при 20°С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1,080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Температура кипения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Температура начала</w:t>
                  </w:r>
                </w:p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кристаллизации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Показатель активности ионов</w:t>
                  </w:r>
                </w:p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водорода, при 20°С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8,67 </w:t>
                  </w:r>
                  <w:proofErr w:type="spellStart"/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pH</w:t>
                  </w:r>
                  <w:proofErr w:type="spellEnd"/>
                </w:p>
              </w:tc>
            </w:tr>
          </w:tbl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648A" w:rsidRPr="00FD648A" w:rsidRDefault="00FD648A" w:rsidP="00FD6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D648A" w:rsidRPr="00FD648A" w:rsidRDefault="00FD648A" w:rsidP="00FD6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FD648A" w:rsidRPr="00FD648A" w:rsidTr="00FD648A">
        <w:trPr>
          <w:trHeight w:val="3106"/>
        </w:trPr>
        <w:tc>
          <w:tcPr>
            <w:tcW w:w="704" w:type="dxa"/>
            <w:vAlign w:val="center"/>
          </w:tcPr>
          <w:p w:rsidR="00FD648A" w:rsidRPr="00FD648A" w:rsidRDefault="00FD648A" w:rsidP="00FD648A">
            <w:pPr>
              <w:numPr>
                <w:ilvl w:val="0"/>
                <w:numId w:val="1"/>
              </w:numPr>
              <w:tabs>
                <w:tab w:val="num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Антифриз зеленый G11 (бочка 216.5л.) </w:t>
            </w:r>
            <w:proofErr w:type="spellStart"/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RhinOil</w:t>
            </w:r>
            <w:proofErr w:type="spellEnd"/>
            <w:r w:rsidRPr="00FD64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7683" w:type="dxa"/>
            <w:vAlign w:val="center"/>
          </w:tcPr>
          <w:tbl>
            <w:tblPr>
              <w:tblW w:w="6086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10"/>
              <w:gridCol w:w="1276"/>
            </w:tblGrid>
            <w:tr w:rsidR="00FD648A" w:rsidRPr="00FD648A" w:rsidTr="006E7088">
              <w:tc>
                <w:tcPr>
                  <w:tcW w:w="481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Показатель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Значение</w:t>
                  </w:r>
                </w:p>
              </w:tc>
            </w:tr>
            <w:tr w:rsidR="00FD648A" w:rsidRPr="00FD648A" w:rsidTr="006E7088">
              <w:trPr>
                <w:trHeight w:val="227"/>
              </w:trPr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Цвет охлаждающей жидкости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Зеленый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Класс охлаждающей жидкости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val="en-US"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val="en-US" w:eastAsia="ru-RU"/>
                    </w:rPr>
                    <w:t>G-11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Вид раствора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готовый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Плотность при 20°С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1,075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Температура кипения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107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Температура начала</w:t>
                  </w:r>
                </w:p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кристаллизации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-40</w:t>
                  </w:r>
                </w:p>
              </w:tc>
            </w:tr>
            <w:tr w:rsidR="00FD648A" w:rsidRPr="00FD648A" w:rsidTr="006E7088">
              <w:tc>
                <w:tcPr>
                  <w:tcW w:w="4810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Показатель активности ионов</w:t>
                  </w:r>
                </w:p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водорода, при 20°С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D648A" w:rsidRPr="00FD648A" w:rsidRDefault="00FD648A" w:rsidP="00FD648A">
                  <w:pPr>
                    <w:framePr w:hSpace="180" w:wrap="around" w:vAnchor="text" w:hAnchor="margin" w:xAlign="center" w:y="16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A1A1A"/>
                      <w:sz w:val="24"/>
                      <w:szCs w:val="24"/>
                      <w:lang w:eastAsia="ru-RU"/>
                    </w:rPr>
                  </w:pPr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 xml:space="preserve">7,84 </w:t>
                  </w:r>
                  <w:proofErr w:type="spellStart"/>
                  <w:r w:rsidRPr="00FD648A">
                    <w:rPr>
                      <w:rFonts w:ascii="Times New Roman" w:eastAsia="Times New Roman" w:hAnsi="Times New Roman" w:cs="Times New Roman"/>
                      <w:color w:val="333333"/>
                      <w:sz w:val="24"/>
                      <w:szCs w:val="24"/>
                      <w:lang w:eastAsia="ru-RU"/>
                    </w:rPr>
                    <w:t>pH</w:t>
                  </w:r>
                  <w:proofErr w:type="spellEnd"/>
                </w:p>
              </w:tc>
            </w:tr>
          </w:tbl>
          <w:p w:rsidR="00FD648A" w:rsidRPr="00FD648A" w:rsidRDefault="00FD648A" w:rsidP="00FD64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FD648A" w:rsidRPr="00FD648A" w:rsidRDefault="00FD648A" w:rsidP="00FD64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417" w:type="dxa"/>
            <w:vAlign w:val="center"/>
          </w:tcPr>
          <w:p w:rsidR="00FD648A" w:rsidRPr="00FD648A" w:rsidRDefault="00FD648A" w:rsidP="00FD648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</w:p>
    <w:p w:rsidR="00FD648A" w:rsidRPr="00343438" w:rsidRDefault="00FD648A">
      <w:pPr>
        <w:rPr>
          <w:rFonts w:ascii="Times New Roman" w:hAnsi="Times New Roman" w:cs="Times New Roman"/>
        </w:rPr>
      </w:pPr>
      <w:r w:rsidRPr="00343438">
        <w:rPr>
          <w:rFonts w:ascii="Times New Roman" w:hAnsi="Times New Roman" w:cs="Times New Roman"/>
        </w:rPr>
        <w:t xml:space="preserve">Предлагаем Заказчику внести изменения в документацию 32514659876 и указать </w:t>
      </w:r>
      <w:proofErr w:type="gramStart"/>
      <w:r w:rsidRPr="00343438">
        <w:rPr>
          <w:rFonts w:ascii="Times New Roman" w:hAnsi="Times New Roman" w:cs="Times New Roman"/>
        </w:rPr>
        <w:t>в поз</w:t>
      </w:r>
      <w:proofErr w:type="gramEnd"/>
      <w:r w:rsidRPr="00343438">
        <w:rPr>
          <w:rFonts w:ascii="Times New Roman" w:hAnsi="Times New Roman" w:cs="Times New Roman"/>
        </w:rPr>
        <w:t>. 1,2,3,4 возможность поставки аналогичной продукции.</w:t>
      </w:r>
    </w:p>
    <w:p w:rsidR="00696CDD" w:rsidRPr="00343438" w:rsidRDefault="00696CDD">
      <w:pPr>
        <w:rPr>
          <w:rFonts w:ascii="Times New Roman" w:hAnsi="Times New Roman" w:cs="Times New Roman"/>
        </w:rPr>
      </w:pPr>
      <w:r w:rsidRPr="00343438">
        <w:rPr>
          <w:rFonts w:ascii="Times New Roman" w:hAnsi="Times New Roman" w:cs="Times New Roman"/>
        </w:rPr>
        <w:t xml:space="preserve">В случае отказа в возможности предложения аналогов </w:t>
      </w:r>
      <w:proofErr w:type="gramStart"/>
      <w:r w:rsidRPr="00343438">
        <w:rPr>
          <w:rFonts w:ascii="Times New Roman" w:hAnsi="Times New Roman" w:cs="Times New Roman"/>
        </w:rPr>
        <w:t>в поз</w:t>
      </w:r>
      <w:proofErr w:type="gramEnd"/>
      <w:r w:rsidRPr="00343438">
        <w:rPr>
          <w:rFonts w:ascii="Times New Roman" w:hAnsi="Times New Roman" w:cs="Times New Roman"/>
        </w:rPr>
        <w:t>. 1,2,3,4 технического задания, будем вынуждены обратится в ФАС по Нижегородской области с жалобой на нарушение прав участников размещения заказа ввиду создания невозможности участия всем остальным участникам рынка в процедуре 32514659876, кроме поставщика, предлагающего товар под маркой</w:t>
      </w:r>
      <w:r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43438">
        <w:rPr>
          <w:rFonts w:ascii="Times New Roman" w:hAnsi="Times New Roman" w:cs="Times New Roman"/>
          <w:color w:val="000000"/>
          <w:sz w:val="24"/>
          <w:szCs w:val="24"/>
          <w:lang w:val="en-US"/>
        </w:rPr>
        <w:t>Rhin</w:t>
      </w:r>
      <w:r w:rsidRPr="003434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43438">
        <w:rPr>
          <w:rFonts w:ascii="Times New Roman" w:hAnsi="Times New Roman" w:cs="Times New Roman"/>
          <w:color w:val="000000"/>
          <w:sz w:val="24"/>
          <w:szCs w:val="24"/>
          <w:lang w:val="en-US"/>
        </w:rPr>
        <w:t>Oil</w:t>
      </w:r>
      <w:r w:rsidRPr="00343438">
        <w:rPr>
          <w:rFonts w:ascii="Times New Roman" w:hAnsi="Times New Roman" w:cs="Times New Roman"/>
        </w:rPr>
        <w:t xml:space="preserve">  по</w:t>
      </w:r>
      <w:proofErr w:type="gramEnd"/>
      <w:r w:rsidRPr="00343438">
        <w:rPr>
          <w:rFonts w:ascii="Times New Roman" w:hAnsi="Times New Roman" w:cs="Times New Roman"/>
        </w:rPr>
        <w:t xml:space="preserve"> завышенным ценам.</w:t>
      </w:r>
    </w:p>
    <w:p w:rsidR="00696CDD" w:rsidRPr="00343438" w:rsidRDefault="00696CDD">
      <w:pPr>
        <w:rPr>
          <w:rFonts w:ascii="Times New Roman" w:hAnsi="Times New Roman" w:cs="Times New Roman"/>
        </w:rPr>
      </w:pPr>
    </w:p>
    <w:bookmarkEnd w:id="0"/>
    <w:p w:rsidR="00FD648A" w:rsidRPr="00343438" w:rsidRDefault="00FD648A">
      <w:pPr>
        <w:rPr>
          <w:rFonts w:ascii="Times New Roman" w:hAnsi="Times New Roman" w:cs="Times New Roman"/>
        </w:rPr>
      </w:pPr>
    </w:p>
    <w:sectPr w:rsidR="00FD648A" w:rsidRPr="00343438" w:rsidSect="00FD64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A53F5"/>
    <w:multiLevelType w:val="hybridMultilevel"/>
    <w:tmpl w:val="36B64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8A"/>
    <w:rsid w:val="00100334"/>
    <w:rsid w:val="00343438"/>
    <w:rsid w:val="00696CDD"/>
    <w:rsid w:val="008A7A37"/>
    <w:rsid w:val="00DC09C9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CDCD6"/>
  <w15:chartTrackingRefBased/>
  <w15:docId w15:val="{24A2EEBB-D3AB-40F9-93E6-FD5FEC09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MegaOil</Company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Малянова</dc:creator>
  <cp:keywords/>
  <dc:description/>
  <cp:lastModifiedBy>Ирина А. Малянова</cp:lastModifiedBy>
  <cp:revision>1</cp:revision>
  <dcterms:created xsi:type="dcterms:W3CDTF">2025-04-01T09:52:00Z</dcterms:created>
  <dcterms:modified xsi:type="dcterms:W3CDTF">2025-04-01T10:28:00Z</dcterms:modified>
</cp:coreProperties>
</file>